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6396" w14:textId="05F3D995" w:rsidR="0097493F" w:rsidRDefault="0097493F" w:rsidP="002C16DA">
      <w:pPr>
        <w:pStyle w:val="Kop1"/>
        <w:spacing w:line="276" w:lineRule="auto"/>
        <w:jc w:val="both"/>
        <w:rPr>
          <w:rFonts w:ascii="Palatino Linotype" w:hAnsi="Palatino Linotype"/>
          <w:color w:val="BF8F00" w:themeColor="accent4" w:themeShade="BF"/>
        </w:rPr>
      </w:pPr>
      <w:r>
        <w:rPr>
          <w:noProof/>
        </w:rPr>
        <w:drawing>
          <wp:anchor distT="0" distB="0" distL="114300" distR="114300" simplePos="0" relativeHeight="251658240" behindDoc="1" locked="0" layoutInCell="1" allowOverlap="1" wp14:anchorId="76EED57C" wp14:editId="1211D740">
            <wp:simplePos x="0" y="0"/>
            <wp:positionH relativeFrom="margin">
              <wp:align>center</wp:align>
            </wp:positionH>
            <wp:positionV relativeFrom="paragraph">
              <wp:posOffset>-526415</wp:posOffset>
            </wp:positionV>
            <wp:extent cx="6469380" cy="1596390"/>
            <wp:effectExtent l="0" t="0" r="7620" b="381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5">
                      <a:extLst>
                        <a:ext uri="{28A0092B-C50C-407E-A947-70E740481C1C}">
                          <a14:useLocalDpi xmlns:a14="http://schemas.microsoft.com/office/drawing/2010/main" val="0"/>
                        </a:ext>
                      </a:extLst>
                    </a:blip>
                    <a:srcRect l="26191" t="24926" r="32011" b="56732"/>
                    <a:stretch/>
                  </pic:blipFill>
                  <pic:spPr bwMode="auto">
                    <a:xfrm>
                      <a:off x="0" y="0"/>
                      <a:ext cx="6469380" cy="1596390"/>
                    </a:xfrm>
                    <a:prstGeom prst="rect">
                      <a:avLst/>
                    </a:prstGeom>
                    <a:ln>
                      <a:noFill/>
                    </a:ln>
                    <a:extLst>
                      <a:ext uri="{53640926-AAD7-44D8-BBD7-CCE9431645EC}">
                        <a14:shadowObscured xmlns:a14="http://schemas.microsoft.com/office/drawing/2010/main"/>
                      </a:ext>
                    </a:extLst>
                  </pic:spPr>
                </pic:pic>
              </a:graphicData>
            </a:graphic>
          </wp:anchor>
        </w:drawing>
      </w:r>
    </w:p>
    <w:p w14:paraId="6034C186" w14:textId="77777777" w:rsidR="0097493F" w:rsidRDefault="0097493F" w:rsidP="002C16DA">
      <w:pPr>
        <w:pStyle w:val="Kop1"/>
        <w:spacing w:line="276" w:lineRule="auto"/>
        <w:jc w:val="both"/>
        <w:rPr>
          <w:rFonts w:ascii="Palatino Linotype" w:hAnsi="Palatino Linotype"/>
          <w:color w:val="BF8F00" w:themeColor="accent4" w:themeShade="BF"/>
        </w:rPr>
      </w:pPr>
    </w:p>
    <w:p w14:paraId="63D398BA" w14:textId="149CD8C5" w:rsidR="002C16DA" w:rsidRPr="003038AA" w:rsidRDefault="002C16DA" w:rsidP="002C16DA">
      <w:pPr>
        <w:pStyle w:val="Kop1"/>
        <w:spacing w:line="276" w:lineRule="auto"/>
        <w:jc w:val="both"/>
        <w:rPr>
          <w:rFonts w:ascii="Palatino Linotype" w:hAnsi="Palatino Linotype"/>
          <w:color w:val="BF8F00" w:themeColor="accent4" w:themeShade="BF"/>
        </w:rPr>
      </w:pPr>
      <w:r w:rsidRPr="003038AA">
        <w:rPr>
          <w:rFonts w:ascii="Palatino Linotype" w:hAnsi="Palatino Linotype"/>
          <w:color w:val="BF8F00" w:themeColor="accent4" w:themeShade="BF"/>
        </w:rPr>
        <w:t>Bestedingsplan Verbindende Activiteiten</w:t>
      </w:r>
    </w:p>
    <w:p w14:paraId="799C685E" w14:textId="7C0A378A" w:rsidR="003038AA" w:rsidRDefault="003038AA" w:rsidP="003038AA">
      <w:pPr>
        <w:spacing w:line="276" w:lineRule="auto"/>
        <w:jc w:val="both"/>
        <w:rPr>
          <w:rFonts w:ascii="Book Antiqua" w:hAnsi="Book Antiqua"/>
          <w:sz w:val="24"/>
          <w:szCs w:val="28"/>
        </w:rPr>
      </w:pPr>
      <w:r>
        <w:rPr>
          <w:rFonts w:ascii="Book Antiqua" w:hAnsi="Book Antiqua"/>
          <w:sz w:val="24"/>
          <w:szCs w:val="28"/>
        </w:rPr>
        <w:t xml:space="preserve">Door beroep te doen op het BVA, kunnen </w:t>
      </w:r>
      <w:proofErr w:type="spellStart"/>
      <w:r>
        <w:rPr>
          <w:rFonts w:ascii="Book Antiqua" w:hAnsi="Book Antiqua"/>
          <w:sz w:val="24"/>
          <w:szCs w:val="28"/>
        </w:rPr>
        <w:t>lidverenigingen</w:t>
      </w:r>
      <w:proofErr w:type="spellEnd"/>
      <w:r>
        <w:rPr>
          <w:rFonts w:ascii="Book Antiqua" w:hAnsi="Book Antiqua"/>
          <w:sz w:val="24"/>
          <w:szCs w:val="28"/>
        </w:rPr>
        <w:t xml:space="preserve"> – mits ze voldoen aan de voorwaarden – een door LETO nader te bepalen bedrag krijgen om een gezamenlijke activiteit van te organiseren. De voorwaarden worden hieronder beschreven.</w:t>
      </w:r>
    </w:p>
    <w:p w14:paraId="48667036" w14:textId="29993162" w:rsidR="003038AA" w:rsidRDefault="003038AA" w:rsidP="003038AA">
      <w:pPr>
        <w:spacing w:line="276" w:lineRule="auto"/>
        <w:jc w:val="both"/>
        <w:rPr>
          <w:rFonts w:ascii="Book Antiqua" w:hAnsi="Book Antiqua"/>
          <w:b/>
          <w:bCs/>
          <w:sz w:val="24"/>
          <w:szCs w:val="28"/>
        </w:rPr>
      </w:pPr>
      <w:r>
        <w:rPr>
          <w:rFonts w:ascii="Book Antiqua" w:hAnsi="Book Antiqua"/>
          <w:b/>
          <w:bCs/>
          <w:sz w:val="24"/>
          <w:szCs w:val="28"/>
        </w:rPr>
        <w:t>Voorwaarden</w:t>
      </w:r>
    </w:p>
    <w:p w14:paraId="73CF97E1" w14:textId="1270ABEC" w:rsidR="003038AA" w:rsidRDefault="003038AA" w:rsidP="00BC0645">
      <w:pPr>
        <w:pStyle w:val="Lijstalinea"/>
        <w:numPr>
          <w:ilvl w:val="0"/>
          <w:numId w:val="6"/>
        </w:numPr>
        <w:spacing w:line="276" w:lineRule="auto"/>
        <w:jc w:val="both"/>
        <w:rPr>
          <w:rFonts w:ascii="Book Antiqua" w:hAnsi="Book Antiqua"/>
          <w:sz w:val="24"/>
          <w:szCs w:val="28"/>
        </w:rPr>
      </w:pPr>
      <w:r>
        <w:rPr>
          <w:rFonts w:ascii="Book Antiqua" w:hAnsi="Book Antiqua"/>
          <w:sz w:val="24"/>
          <w:szCs w:val="28"/>
        </w:rPr>
        <w:t>De activiteit moet worden georganiseerd door minstens twee letterenverenigingen;</w:t>
      </w:r>
    </w:p>
    <w:p w14:paraId="1448CA2C" w14:textId="4316728D" w:rsidR="00BC0645" w:rsidRDefault="00525DEE" w:rsidP="00BC0645">
      <w:pPr>
        <w:pStyle w:val="Lijstalinea"/>
        <w:numPr>
          <w:ilvl w:val="0"/>
          <w:numId w:val="6"/>
        </w:numPr>
        <w:spacing w:line="276" w:lineRule="auto"/>
        <w:jc w:val="both"/>
        <w:rPr>
          <w:rFonts w:ascii="Book Antiqua" w:hAnsi="Book Antiqua"/>
          <w:sz w:val="24"/>
          <w:szCs w:val="28"/>
        </w:rPr>
      </w:pPr>
      <w:r w:rsidRPr="00BC0645">
        <w:rPr>
          <w:rFonts w:ascii="Book Antiqua" w:hAnsi="Book Antiqua"/>
          <w:sz w:val="24"/>
          <w:szCs w:val="28"/>
        </w:rPr>
        <w:t>De activiteit moet breed toegankelijk zijn</w:t>
      </w:r>
      <w:r w:rsidR="003038AA">
        <w:rPr>
          <w:rFonts w:ascii="Book Antiqua" w:hAnsi="Book Antiqua"/>
          <w:sz w:val="24"/>
          <w:szCs w:val="28"/>
        </w:rPr>
        <w:t>, dus iets wat iedereen aanspreekt</w:t>
      </w:r>
      <w:r w:rsidRPr="00BC0645">
        <w:rPr>
          <w:rFonts w:ascii="Book Antiqua" w:hAnsi="Book Antiqua"/>
          <w:sz w:val="24"/>
          <w:szCs w:val="28"/>
        </w:rPr>
        <w:t>;</w:t>
      </w:r>
    </w:p>
    <w:p w14:paraId="4F3556F9" w14:textId="7572441D" w:rsidR="003038AA" w:rsidRDefault="003038AA" w:rsidP="00BC0645">
      <w:pPr>
        <w:pStyle w:val="Lijstalinea"/>
        <w:numPr>
          <w:ilvl w:val="0"/>
          <w:numId w:val="6"/>
        </w:numPr>
        <w:spacing w:line="276" w:lineRule="auto"/>
        <w:jc w:val="both"/>
        <w:rPr>
          <w:rFonts w:ascii="Book Antiqua" w:hAnsi="Book Antiqua"/>
          <w:sz w:val="24"/>
          <w:szCs w:val="28"/>
        </w:rPr>
      </w:pPr>
      <w:r>
        <w:rPr>
          <w:rFonts w:ascii="Book Antiqua" w:hAnsi="Book Antiqua"/>
          <w:sz w:val="24"/>
          <w:szCs w:val="28"/>
        </w:rPr>
        <w:t xml:space="preserve">Er wordt redelijkerwijs gebruik gemaakt van deze mogelijkheid, d.w.z. wanneer een </w:t>
      </w:r>
      <w:proofErr w:type="spellStart"/>
      <w:r>
        <w:rPr>
          <w:rFonts w:ascii="Book Antiqua" w:hAnsi="Book Antiqua"/>
          <w:sz w:val="24"/>
          <w:szCs w:val="28"/>
        </w:rPr>
        <w:t>lidvereniging</w:t>
      </w:r>
      <w:proofErr w:type="spellEnd"/>
      <w:r>
        <w:rPr>
          <w:rFonts w:ascii="Book Antiqua" w:hAnsi="Book Antiqua"/>
          <w:sz w:val="24"/>
          <w:szCs w:val="28"/>
        </w:rPr>
        <w:t xml:space="preserve"> al vaker achter elkaar gebruik heeft gemaakt van de regeling, LETO de aanvraag kan afwijzen. Er moet voor elke studievereniging immers genoeg mogelijkheid zijn om gebruik te kunnen maken van de regeling;</w:t>
      </w:r>
    </w:p>
    <w:p w14:paraId="3BABF942" w14:textId="4B66895B" w:rsidR="003038AA" w:rsidRDefault="003038AA" w:rsidP="00BC0645">
      <w:pPr>
        <w:pStyle w:val="Lijstalinea"/>
        <w:numPr>
          <w:ilvl w:val="0"/>
          <w:numId w:val="6"/>
        </w:numPr>
        <w:spacing w:line="276" w:lineRule="auto"/>
        <w:jc w:val="both"/>
        <w:rPr>
          <w:rFonts w:ascii="Book Antiqua" w:hAnsi="Book Antiqua"/>
          <w:sz w:val="24"/>
          <w:szCs w:val="28"/>
        </w:rPr>
      </w:pPr>
      <w:r>
        <w:rPr>
          <w:rFonts w:ascii="Book Antiqua" w:hAnsi="Book Antiqua"/>
          <w:sz w:val="24"/>
          <w:szCs w:val="28"/>
        </w:rPr>
        <w:t xml:space="preserve">Er wordt een begroting ingediend bij de aanvraag waarin alle verwachte kosten en opbrengsten zijn uiteengezet, inclusief het beoogde BVA-bedrag. Er mag geen winst worden begroot voor de activiteit; </w:t>
      </w:r>
    </w:p>
    <w:p w14:paraId="37B0500F" w14:textId="58B7309C" w:rsidR="003038AA" w:rsidRDefault="003038AA" w:rsidP="00BC0645">
      <w:pPr>
        <w:pStyle w:val="Lijstalinea"/>
        <w:numPr>
          <w:ilvl w:val="0"/>
          <w:numId w:val="6"/>
        </w:numPr>
        <w:spacing w:line="276" w:lineRule="auto"/>
        <w:jc w:val="both"/>
        <w:rPr>
          <w:rFonts w:ascii="Book Antiqua" w:hAnsi="Book Antiqua"/>
          <w:sz w:val="24"/>
          <w:szCs w:val="28"/>
        </w:rPr>
      </w:pPr>
      <w:r>
        <w:rPr>
          <w:rFonts w:ascii="Book Antiqua" w:hAnsi="Book Antiqua"/>
          <w:sz w:val="24"/>
          <w:szCs w:val="28"/>
        </w:rPr>
        <w:t xml:space="preserve">Als er geld overblijft van de bijdrage, vloeit dit terug in het BVA. LETO zal na </w:t>
      </w:r>
      <w:proofErr w:type="gramStart"/>
      <w:r>
        <w:rPr>
          <w:rFonts w:ascii="Book Antiqua" w:hAnsi="Book Antiqua"/>
          <w:sz w:val="24"/>
          <w:szCs w:val="28"/>
        </w:rPr>
        <w:t>de</w:t>
      </w:r>
      <w:proofErr w:type="gramEnd"/>
      <w:r>
        <w:rPr>
          <w:rFonts w:ascii="Book Antiqua" w:hAnsi="Book Antiqua"/>
          <w:sz w:val="24"/>
          <w:szCs w:val="28"/>
        </w:rPr>
        <w:t xml:space="preserve"> activiteit vragen om een afrekening. </w:t>
      </w:r>
    </w:p>
    <w:p w14:paraId="15FE598D" w14:textId="518B163B" w:rsidR="003038AA" w:rsidRDefault="003038AA" w:rsidP="003038AA">
      <w:pPr>
        <w:spacing w:line="276" w:lineRule="auto"/>
        <w:jc w:val="both"/>
        <w:rPr>
          <w:rFonts w:ascii="Book Antiqua" w:hAnsi="Book Antiqua"/>
          <w:b/>
          <w:bCs/>
          <w:sz w:val="24"/>
          <w:szCs w:val="28"/>
        </w:rPr>
      </w:pPr>
      <w:r>
        <w:rPr>
          <w:rFonts w:ascii="Book Antiqua" w:hAnsi="Book Antiqua"/>
          <w:b/>
          <w:bCs/>
          <w:sz w:val="24"/>
          <w:szCs w:val="28"/>
        </w:rPr>
        <w:t>Overige opmerkingen</w:t>
      </w:r>
    </w:p>
    <w:p w14:paraId="5FE0A621" w14:textId="3230252B" w:rsidR="003038AA" w:rsidRDefault="003038AA" w:rsidP="003038AA">
      <w:pPr>
        <w:pStyle w:val="Lijstalinea"/>
        <w:numPr>
          <w:ilvl w:val="0"/>
          <w:numId w:val="9"/>
        </w:numPr>
        <w:spacing w:line="276" w:lineRule="auto"/>
        <w:jc w:val="both"/>
        <w:rPr>
          <w:rFonts w:ascii="Book Antiqua" w:hAnsi="Book Antiqua"/>
          <w:sz w:val="24"/>
          <w:szCs w:val="28"/>
        </w:rPr>
      </w:pPr>
      <w:r>
        <w:rPr>
          <w:rFonts w:ascii="Book Antiqua" w:hAnsi="Book Antiqua"/>
          <w:sz w:val="24"/>
          <w:szCs w:val="28"/>
        </w:rPr>
        <w:t xml:space="preserve">De activiteit kan zowel formeel als informeel zijn; </w:t>
      </w:r>
    </w:p>
    <w:p w14:paraId="7C0EC12D" w14:textId="4E8D9FA6" w:rsidR="003038AA" w:rsidRPr="003038AA" w:rsidRDefault="003038AA" w:rsidP="003038AA">
      <w:pPr>
        <w:pStyle w:val="Lijstalinea"/>
        <w:numPr>
          <w:ilvl w:val="0"/>
          <w:numId w:val="9"/>
        </w:numPr>
        <w:spacing w:line="276" w:lineRule="auto"/>
        <w:jc w:val="both"/>
        <w:rPr>
          <w:rFonts w:ascii="Book Antiqua" w:hAnsi="Book Antiqua"/>
          <w:sz w:val="24"/>
          <w:szCs w:val="28"/>
        </w:rPr>
      </w:pPr>
      <w:r>
        <w:rPr>
          <w:rFonts w:ascii="Book Antiqua" w:hAnsi="Book Antiqua"/>
          <w:sz w:val="24"/>
          <w:szCs w:val="28"/>
        </w:rPr>
        <w:t xml:space="preserve">Er mag zelf worden besloten of de activiteit toegankelijk is voor leden van alle letterenverenigingen, of enkel voor leden van de letterenverenigingen die de activiteit organiseren. </w:t>
      </w:r>
    </w:p>
    <w:p w14:paraId="53775B15" w14:textId="3B6BC198" w:rsidR="004D62B4" w:rsidRDefault="003038AA" w:rsidP="002C16DA">
      <w:pPr>
        <w:spacing w:line="276" w:lineRule="auto"/>
        <w:jc w:val="both"/>
        <w:rPr>
          <w:rFonts w:ascii="Book Antiqua" w:hAnsi="Book Antiqua"/>
          <w:b/>
          <w:bCs/>
          <w:sz w:val="24"/>
          <w:szCs w:val="28"/>
        </w:rPr>
      </w:pPr>
      <w:r>
        <w:rPr>
          <w:rFonts w:ascii="Book Antiqua" w:hAnsi="Book Antiqua"/>
          <w:b/>
          <w:bCs/>
          <w:sz w:val="24"/>
          <w:szCs w:val="28"/>
        </w:rPr>
        <w:t>Bedragentabel</w:t>
      </w:r>
    </w:p>
    <w:p w14:paraId="2FEEB0DF" w14:textId="6ED5752C" w:rsidR="003038AA" w:rsidRDefault="003038AA" w:rsidP="002C16DA">
      <w:pPr>
        <w:spacing w:line="276" w:lineRule="auto"/>
        <w:jc w:val="both"/>
        <w:rPr>
          <w:rFonts w:ascii="Book Antiqua" w:hAnsi="Book Antiqua"/>
          <w:sz w:val="24"/>
          <w:szCs w:val="28"/>
        </w:rPr>
      </w:pPr>
      <w:r w:rsidRPr="003038AA">
        <w:rPr>
          <w:rFonts w:ascii="Book Antiqua" w:hAnsi="Book Antiqua"/>
          <w:sz w:val="24"/>
          <w:szCs w:val="28"/>
        </w:rPr>
        <w:t xml:space="preserve">De letterenverenigingen kunnen beroep doen op het BVA door een aanvraag in te dienen bij Koepelvereniging LETO. Wanneer er een aanvraag is ingediend, zal LETO toetsen of deze voldoet aan de voorwaarden. </w:t>
      </w:r>
      <w:proofErr w:type="gramStart"/>
      <w:r w:rsidRPr="003038AA">
        <w:rPr>
          <w:rFonts w:ascii="Book Antiqua" w:hAnsi="Book Antiqua"/>
          <w:sz w:val="24"/>
          <w:szCs w:val="28"/>
        </w:rPr>
        <w:t>Indien</w:t>
      </w:r>
      <w:proofErr w:type="gramEnd"/>
      <w:r w:rsidRPr="003038AA">
        <w:rPr>
          <w:rFonts w:ascii="Book Antiqua" w:hAnsi="Book Antiqua"/>
          <w:sz w:val="24"/>
          <w:szCs w:val="28"/>
        </w:rPr>
        <w:t xml:space="preserve"> dit het geval is, zal LETO verklaren welk bedrag er beschikbaar wordt gesteld. De maximale bedragen waar de organiserende </w:t>
      </w:r>
      <w:proofErr w:type="spellStart"/>
      <w:r w:rsidRPr="003038AA">
        <w:rPr>
          <w:rFonts w:ascii="Book Antiqua" w:hAnsi="Book Antiqua"/>
          <w:sz w:val="24"/>
          <w:szCs w:val="28"/>
        </w:rPr>
        <w:t>lidverenigingen</w:t>
      </w:r>
      <w:proofErr w:type="spellEnd"/>
      <w:r w:rsidRPr="003038AA">
        <w:rPr>
          <w:rFonts w:ascii="Book Antiqua" w:hAnsi="Book Antiqua"/>
          <w:sz w:val="24"/>
          <w:szCs w:val="28"/>
        </w:rPr>
        <w:t xml:space="preserve"> recht op hebben, zijn hieronder in een tabel uiteengezet. LETO kan de overweging maken om niet het maximale bedrag ter beschikking te stellen, bijvoorbeeld wanneer het maximale bedrag niet nodig zal zijn; de activiteit niet breed toegankelijk genoeg is; of wanneer één of meerdere van de </w:t>
      </w:r>
      <w:proofErr w:type="spellStart"/>
      <w:r w:rsidRPr="003038AA">
        <w:rPr>
          <w:rFonts w:ascii="Book Antiqua" w:hAnsi="Book Antiqua"/>
          <w:sz w:val="24"/>
          <w:szCs w:val="28"/>
        </w:rPr>
        <w:lastRenderedPageBreak/>
        <w:t>lidverenigingen</w:t>
      </w:r>
      <w:proofErr w:type="spellEnd"/>
      <w:r w:rsidRPr="003038AA">
        <w:rPr>
          <w:rFonts w:ascii="Book Antiqua" w:hAnsi="Book Antiqua"/>
          <w:sz w:val="24"/>
          <w:szCs w:val="28"/>
        </w:rPr>
        <w:t xml:space="preserve"> die medeorganisator is, al vaak gebruik heeft gemaakt van de regeling.</w:t>
      </w:r>
    </w:p>
    <w:p w14:paraId="0DFD16B8" w14:textId="35DE9545" w:rsidR="003038AA" w:rsidRPr="003038AA" w:rsidRDefault="003038AA" w:rsidP="002C16DA">
      <w:pPr>
        <w:spacing w:line="276" w:lineRule="auto"/>
        <w:jc w:val="both"/>
        <w:rPr>
          <w:rFonts w:ascii="Book Antiqua" w:hAnsi="Book Antiqua"/>
          <w:sz w:val="24"/>
          <w:szCs w:val="28"/>
        </w:rPr>
      </w:pPr>
      <w:r w:rsidRPr="003038AA">
        <w:rPr>
          <w:rFonts w:ascii="Book Antiqua" w:hAnsi="Book Antiqua"/>
          <w:sz w:val="24"/>
          <w:szCs w:val="28"/>
        </w:rPr>
        <w:t xml:space="preserve">Om te bepalen voor welk maximaal bedrag de letterenverenigingen die een aanvraag doen in aanraking komen, wordt gekeken naar de verwachte opkomst en de categorie van de activiteit. De verwachte opkomst is het aantal letterenstudenten dat wordt verwacht op de avond van de activiteit. De categorie duidt aan of het om een grote of een kleinere activiteit gaat. In categorie 1 vallen kleinere activiteiten waar minder geld voor nodig is. Denk aan borrels, lezingen en </w:t>
      </w:r>
      <w:proofErr w:type="spellStart"/>
      <w:r w:rsidRPr="003038AA">
        <w:rPr>
          <w:rFonts w:ascii="Book Antiqua" w:hAnsi="Book Antiqua"/>
          <w:sz w:val="24"/>
          <w:szCs w:val="28"/>
        </w:rPr>
        <w:t>pubquizzen</w:t>
      </w:r>
      <w:proofErr w:type="spellEnd"/>
      <w:r w:rsidRPr="003038AA">
        <w:rPr>
          <w:rFonts w:ascii="Book Antiqua" w:hAnsi="Book Antiqua"/>
          <w:sz w:val="24"/>
          <w:szCs w:val="28"/>
        </w:rPr>
        <w:t xml:space="preserve"> waarbij geld nodig is voor zaken als decoratie, snacks, een prijsje, etc. In categorie 2 vallen grotere activiteiten zoals feesten of symposia waar meer geld voor nodig is. Denk aan gastsprekers, consumptiebonnen, een DJ, zaalhuur, etc.  </w:t>
      </w:r>
    </w:p>
    <w:tbl>
      <w:tblPr>
        <w:tblStyle w:val="Tabelraster"/>
        <w:tblW w:w="0" w:type="auto"/>
        <w:tblLook w:val="04A0" w:firstRow="1" w:lastRow="0" w:firstColumn="1" w:lastColumn="0" w:noHBand="0" w:noVBand="1"/>
      </w:tblPr>
      <w:tblGrid>
        <w:gridCol w:w="2972"/>
        <w:gridCol w:w="1654"/>
        <w:gridCol w:w="1748"/>
        <w:gridCol w:w="2688"/>
      </w:tblGrid>
      <w:tr w:rsidR="003115A7" w:rsidRPr="00621CC2" w14:paraId="5C284267" w14:textId="68822945" w:rsidTr="003115A7">
        <w:tc>
          <w:tcPr>
            <w:tcW w:w="2972" w:type="dxa"/>
          </w:tcPr>
          <w:p w14:paraId="569DCF45" w14:textId="6AACF89A" w:rsidR="003115A7" w:rsidRPr="00621CC2" w:rsidRDefault="003038AA" w:rsidP="002C16DA">
            <w:pPr>
              <w:spacing w:line="276" w:lineRule="auto"/>
              <w:jc w:val="both"/>
              <w:rPr>
                <w:rFonts w:ascii="Book Antiqua" w:hAnsi="Book Antiqua"/>
                <w:b/>
                <w:bCs/>
                <w:sz w:val="24"/>
                <w:szCs w:val="28"/>
              </w:rPr>
            </w:pPr>
            <w:r>
              <w:rPr>
                <w:rFonts w:ascii="Book Antiqua" w:hAnsi="Book Antiqua"/>
                <w:b/>
                <w:bCs/>
                <w:sz w:val="24"/>
                <w:szCs w:val="28"/>
              </w:rPr>
              <w:t>Verwachte opkomst</w:t>
            </w:r>
          </w:p>
        </w:tc>
        <w:tc>
          <w:tcPr>
            <w:tcW w:w="3402" w:type="dxa"/>
            <w:gridSpan w:val="2"/>
          </w:tcPr>
          <w:p w14:paraId="338EF7C7" w14:textId="08CA1C1E" w:rsidR="003115A7" w:rsidRPr="00621CC2" w:rsidRDefault="003115A7" w:rsidP="002C16DA">
            <w:pPr>
              <w:spacing w:line="276" w:lineRule="auto"/>
              <w:jc w:val="both"/>
              <w:rPr>
                <w:rFonts w:ascii="Book Antiqua" w:hAnsi="Book Antiqua"/>
                <w:b/>
                <w:bCs/>
                <w:sz w:val="24"/>
                <w:szCs w:val="28"/>
              </w:rPr>
            </w:pPr>
            <w:r>
              <w:rPr>
                <w:rFonts w:ascii="Book Antiqua" w:hAnsi="Book Antiqua"/>
                <w:b/>
                <w:bCs/>
                <w:sz w:val="24"/>
                <w:szCs w:val="28"/>
              </w:rPr>
              <w:t>Categorie activiteit</w:t>
            </w:r>
          </w:p>
        </w:tc>
        <w:tc>
          <w:tcPr>
            <w:tcW w:w="2688" w:type="dxa"/>
          </w:tcPr>
          <w:p w14:paraId="64762E7B" w14:textId="7962CB03" w:rsidR="003115A7" w:rsidRPr="00621CC2" w:rsidRDefault="003115A7" w:rsidP="002C16DA">
            <w:pPr>
              <w:spacing w:line="276" w:lineRule="auto"/>
              <w:jc w:val="both"/>
              <w:rPr>
                <w:rFonts w:ascii="Book Antiqua" w:hAnsi="Book Antiqua"/>
                <w:b/>
                <w:bCs/>
                <w:sz w:val="24"/>
                <w:szCs w:val="28"/>
              </w:rPr>
            </w:pPr>
            <w:r>
              <w:rPr>
                <w:rFonts w:ascii="Book Antiqua" w:hAnsi="Book Antiqua"/>
                <w:b/>
                <w:bCs/>
                <w:sz w:val="24"/>
                <w:szCs w:val="28"/>
              </w:rPr>
              <w:t>Maximale bedrag</w:t>
            </w:r>
            <w:r w:rsidR="00CE5D2A">
              <w:rPr>
                <w:rFonts w:ascii="Book Antiqua" w:hAnsi="Book Antiqua"/>
                <w:b/>
                <w:bCs/>
                <w:sz w:val="24"/>
                <w:szCs w:val="28"/>
              </w:rPr>
              <w:t xml:space="preserve"> </w:t>
            </w:r>
          </w:p>
        </w:tc>
      </w:tr>
      <w:tr w:rsidR="003115A7" w14:paraId="189F6575" w14:textId="77777777" w:rsidTr="003115A7">
        <w:tc>
          <w:tcPr>
            <w:tcW w:w="2972" w:type="dxa"/>
          </w:tcPr>
          <w:p w14:paraId="66A3112E" w14:textId="66A39962" w:rsidR="003115A7" w:rsidRDefault="003038AA" w:rsidP="002C16DA">
            <w:pPr>
              <w:spacing w:line="276" w:lineRule="auto"/>
              <w:jc w:val="both"/>
              <w:rPr>
                <w:rFonts w:ascii="Book Antiqua" w:hAnsi="Book Antiqua"/>
                <w:sz w:val="24"/>
                <w:szCs w:val="28"/>
              </w:rPr>
            </w:pPr>
            <w:r>
              <w:rPr>
                <w:rFonts w:ascii="Book Antiqua" w:hAnsi="Book Antiqua"/>
                <w:sz w:val="24"/>
                <w:szCs w:val="28"/>
              </w:rPr>
              <w:t>25-75</w:t>
            </w:r>
            <w:r w:rsidR="003115A7">
              <w:rPr>
                <w:rFonts w:ascii="Book Antiqua" w:hAnsi="Book Antiqua"/>
                <w:sz w:val="24"/>
                <w:szCs w:val="28"/>
              </w:rPr>
              <w:t xml:space="preserve"> </w:t>
            </w:r>
          </w:p>
        </w:tc>
        <w:tc>
          <w:tcPr>
            <w:tcW w:w="1654" w:type="dxa"/>
          </w:tcPr>
          <w:p w14:paraId="18D7070D" w14:textId="5508256C" w:rsidR="003115A7" w:rsidRDefault="003115A7" w:rsidP="002C16DA">
            <w:pPr>
              <w:spacing w:line="276" w:lineRule="auto"/>
              <w:jc w:val="both"/>
              <w:rPr>
                <w:rFonts w:ascii="Book Antiqua" w:hAnsi="Book Antiqua"/>
                <w:sz w:val="24"/>
                <w:szCs w:val="28"/>
              </w:rPr>
            </w:pPr>
            <w:r>
              <w:rPr>
                <w:rFonts w:ascii="Book Antiqua" w:hAnsi="Book Antiqua"/>
                <w:sz w:val="24"/>
                <w:szCs w:val="28"/>
              </w:rPr>
              <w:t>1</w:t>
            </w:r>
          </w:p>
        </w:tc>
        <w:tc>
          <w:tcPr>
            <w:tcW w:w="1748" w:type="dxa"/>
          </w:tcPr>
          <w:p w14:paraId="5F577BBE" w14:textId="31767A43" w:rsidR="003115A7" w:rsidRDefault="003115A7" w:rsidP="002C16DA">
            <w:pPr>
              <w:spacing w:line="276" w:lineRule="auto"/>
              <w:jc w:val="both"/>
              <w:rPr>
                <w:rFonts w:ascii="Book Antiqua" w:hAnsi="Book Antiqua"/>
                <w:sz w:val="24"/>
                <w:szCs w:val="28"/>
              </w:rPr>
            </w:pPr>
          </w:p>
        </w:tc>
        <w:tc>
          <w:tcPr>
            <w:tcW w:w="2688" w:type="dxa"/>
          </w:tcPr>
          <w:p w14:paraId="0C36426F" w14:textId="425C0923" w:rsidR="003115A7" w:rsidRDefault="003038AA" w:rsidP="002C16DA">
            <w:pPr>
              <w:spacing w:line="276" w:lineRule="auto"/>
              <w:jc w:val="both"/>
              <w:rPr>
                <w:rFonts w:ascii="Book Antiqua" w:hAnsi="Book Antiqua"/>
                <w:sz w:val="24"/>
                <w:szCs w:val="28"/>
              </w:rPr>
            </w:pPr>
            <w:r>
              <w:rPr>
                <w:rFonts w:ascii="Book Antiqua" w:hAnsi="Book Antiqua"/>
                <w:sz w:val="24"/>
                <w:szCs w:val="28"/>
              </w:rPr>
              <w:t>50 euro</w:t>
            </w:r>
          </w:p>
        </w:tc>
      </w:tr>
      <w:tr w:rsidR="003115A7" w14:paraId="1D086966" w14:textId="3597ABA4" w:rsidTr="003115A7">
        <w:tc>
          <w:tcPr>
            <w:tcW w:w="2972" w:type="dxa"/>
          </w:tcPr>
          <w:p w14:paraId="0F885C23" w14:textId="56B5B749" w:rsidR="003115A7" w:rsidRDefault="003038AA" w:rsidP="002C16DA">
            <w:pPr>
              <w:spacing w:line="276" w:lineRule="auto"/>
              <w:jc w:val="both"/>
              <w:rPr>
                <w:rFonts w:ascii="Book Antiqua" w:hAnsi="Book Antiqua"/>
                <w:sz w:val="24"/>
                <w:szCs w:val="28"/>
              </w:rPr>
            </w:pPr>
            <w:r>
              <w:rPr>
                <w:rFonts w:ascii="Book Antiqua" w:hAnsi="Book Antiqua"/>
                <w:sz w:val="24"/>
                <w:szCs w:val="28"/>
              </w:rPr>
              <w:t>25-75</w:t>
            </w:r>
            <w:r w:rsidR="003115A7">
              <w:rPr>
                <w:rFonts w:ascii="Book Antiqua" w:hAnsi="Book Antiqua"/>
                <w:sz w:val="24"/>
                <w:szCs w:val="28"/>
              </w:rPr>
              <w:t xml:space="preserve"> </w:t>
            </w:r>
          </w:p>
        </w:tc>
        <w:tc>
          <w:tcPr>
            <w:tcW w:w="1654" w:type="dxa"/>
          </w:tcPr>
          <w:p w14:paraId="7D4361B5" w14:textId="77777777" w:rsidR="003115A7" w:rsidRDefault="003115A7" w:rsidP="002C16DA">
            <w:pPr>
              <w:spacing w:line="276" w:lineRule="auto"/>
              <w:jc w:val="both"/>
              <w:rPr>
                <w:rFonts w:ascii="Book Antiqua" w:hAnsi="Book Antiqua"/>
                <w:sz w:val="24"/>
                <w:szCs w:val="28"/>
              </w:rPr>
            </w:pPr>
          </w:p>
        </w:tc>
        <w:tc>
          <w:tcPr>
            <w:tcW w:w="1748" w:type="dxa"/>
          </w:tcPr>
          <w:p w14:paraId="0B7C31CE" w14:textId="1D3CBB6A" w:rsidR="003115A7" w:rsidRDefault="00C53FB7" w:rsidP="002C16DA">
            <w:pPr>
              <w:spacing w:line="276" w:lineRule="auto"/>
              <w:jc w:val="both"/>
              <w:rPr>
                <w:rFonts w:ascii="Book Antiqua" w:hAnsi="Book Antiqua"/>
                <w:sz w:val="24"/>
                <w:szCs w:val="28"/>
              </w:rPr>
            </w:pPr>
            <w:r>
              <w:rPr>
                <w:rFonts w:ascii="Book Antiqua" w:hAnsi="Book Antiqua"/>
                <w:sz w:val="24"/>
                <w:szCs w:val="28"/>
              </w:rPr>
              <w:t>2</w:t>
            </w:r>
          </w:p>
        </w:tc>
        <w:tc>
          <w:tcPr>
            <w:tcW w:w="2688" w:type="dxa"/>
          </w:tcPr>
          <w:p w14:paraId="16A07A23" w14:textId="178530B4" w:rsidR="003115A7" w:rsidRDefault="003038AA" w:rsidP="002C16DA">
            <w:pPr>
              <w:spacing w:line="276" w:lineRule="auto"/>
              <w:jc w:val="both"/>
              <w:rPr>
                <w:rFonts w:ascii="Book Antiqua" w:hAnsi="Book Antiqua"/>
                <w:sz w:val="24"/>
                <w:szCs w:val="28"/>
              </w:rPr>
            </w:pPr>
            <w:r>
              <w:rPr>
                <w:rFonts w:ascii="Book Antiqua" w:hAnsi="Book Antiqua"/>
                <w:sz w:val="24"/>
                <w:szCs w:val="28"/>
              </w:rPr>
              <w:t>100 euro</w:t>
            </w:r>
          </w:p>
        </w:tc>
      </w:tr>
      <w:tr w:rsidR="003115A7" w14:paraId="1BA7DFF0" w14:textId="50782037" w:rsidTr="003115A7">
        <w:tc>
          <w:tcPr>
            <w:tcW w:w="2972" w:type="dxa"/>
          </w:tcPr>
          <w:p w14:paraId="66C01F48" w14:textId="55B2555C" w:rsidR="003115A7" w:rsidRDefault="003038AA" w:rsidP="002C16DA">
            <w:pPr>
              <w:spacing w:line="276" w:lineRule="auto"/>
              <w:jc w:val="both"/>
              <w:rPr>
                <w:rFonts w:ascii="Book Antiqua" w:hAnsi="Book Antiqua"/>
                <w:sz w:val="24"/>
                <w:szCs w:val="28"/>
              </w:rPr>
            </w:pPr>
            <w:r>
              <w:rPr>
                <w:rFonts w:ascii="Book Antiqua" w:hAnsi="Book Antiqua"/>
                <w:sz w:val="24"/>
                <w:szCs w:val="28"/>
              </w:rPr>
              <w:t>76-125</w:t>
            </w:r>
          </w:p>
        </w:tc>
        <w:tc>
          <w:tcPr>
            <w:tcW w:w="1654" w:type="dxa"/>
          </w:tcPr>
          <w:p w14:paraId="737CF3F4" w14:textId="5B53B007" w:rsidR="003115A7" w:rsidRDefault="002B74D1" w:rsidP="002C16DA">
            <w:pPr>
              <w:spacing w:line="276" w:lineRule="auto"/>
              <w:jc w:val="both"/>
              <w:rPr>
                <w:rFonts w:ascii="Book Antiqua" w:hAnsi="Book Antiqua"/>
                <w:sz w:val="24"/>
                <w:szCs w:val="28"/>
              </w:rPr>
            </w:pPr>
            <w:r>
              <w:rPr>
                <w:rFonts w:ascii="Book Antiqua" w:hAnsi="Book Antiqua"/>
                <w:sz w:val="24"/>
                <w:szCs w:val="28"/>
              </w:rPr>
              <w:t>1</w:t>
            </w:r>
          </w:p>
        </w:tc>
        <w:tc>
          <w:tcPr>
            <w:tcW w:w="1748" w:type="dxa"/>
          </w:tcPr>
          <w:p w14:paraId="64811A9D" w14:textId="77777777" w:rsidR="003115A7" w:rsidRDefault="003115A7" w:rsidP="002C16DA">
            <w:pPr>
              <w:spacing w:line="276" w:lineRule="auto"/>
              <w:jc w:val="both"/>
              <w:rPr>
                <w:rFonts w:ascii="Book Antiqua" w:hAnsi="Book Antiqua"/>
                <w:sz w:val="24"/>
                <w:szCs w:val="28"/>
              </w:rPr>
            </w:pPr>
          </w:p>
        </w:tc>
        <w:tc>
          <w:tcPr>
            <w:tcW w:w="2688" w:type="dxa"/>
          </w:tcPr>
          <w:p w14:paraId="2B78B905" w14:textId="7D3A0C23" w:rsidR="003115A7" w:rsidRDefault="003038AA" w:rsidP="002C16DA">
            <w:pPr>
              <w:spacing w:line="276" w:lineRule="auto"/>
              <w:jc w:val="both"/>
              <w:rPr>
                <w:rFonts w:ascii="Book Antiqua" w:hAnsi="Book Antiqua"/>
                <w:sz w:val="24"/>
                <w:szCs w:val="28"/>
              </w:rPr>
            </w:pPr>
            <w:r>
              <w:rPr>
                <w:rFonts w:ascii="Book Antiqua" w:hAnsi="Book Antiqua"/>
                <w:sz w:val="24"/>
                <w:szCs w:val="28"/>
              </w:rPr>
              <w:t>75 euro</w:t>
            </w:r>
          </w:p>
        </w:tc>
      </w:tr>
      <w:tr w:rsidR="002B74D1" w14:paraId="25466786" w14:textId="77777777" w:rsidTr="003115A7">
        <w:tc>
          <w:tcPr>
            <w:tcW w:w="2972" w:type="dxa"/>
          </w:tcPr>
          <w:p w14:paraId="14CD9AE5" w14:textId="46404195" w:rsidR="002B74D1" w:rsidRDefault="003038AA" w:rsidP="002C16DA">
            <w:pPr>
              <w:spacing w:line="276" w:lineRule="auto"/>
              <w:jc w:val="both"/>
              <w:rPr>
                <w:rFonts w:ascii="Book Antiqua" w:hAnsi="Book Antiqua"/>
                <w:sz w:val="24"/>
                <w:szCs w:val="28"/>
              </w:rPr>
            </w:pPr>
            <w:r>
              <w:rPr>
                <w:rFonts w:ascii="Book Antiqua" w:hAnsi="Book Antiqua"/>
                <w:sz w:val="24"/>
                <w:szCs w:val="28"/>
              </w:rPr>
              <w:t>76-125</w:t>
            </w:r>
          </w:p>
        </w:tc>
        <w:tc>
          <w:tcPr>
            <w:tcW w:w="1654" w:type="dxa"/>
          </w:tcPr>
          <w:p w14:paraId="2EBC0F3F" w14:textId="77777777" w:rsidR="002B74D1" w:rsidRDefault="002B74D1" w:rsidP="002C16DA">
            <w:pPr>
              <w:spacing w:line="276" w:lineRule="auto"/>
              <w:jc w:val="both"/>
              <w:rPr>
                <w:rFonts w:ascii="Book Antiqua" w:hAnsi="Book Antiqua"/>
                <w:sz w:val="24"/>
                <w:szCs w:val="28"/>
              </w:rPr>
            </w:pPr>
          </w:p>
        </w:tc>
        <w:tc>
          <w:tcPr>
            <w:tcW w:w="1748" w:type="dxa"/>
          </w:tcPr>
          <w:p w14:paraId="7FA1A55F" w14:textId="7F5F1537" w:rsidR="002B74D1" w:rsidRDefault="002B74D1" w:rsidP="002C16DA">
            <w:pPr>
              <w:spacing w:line="276" w:lineRule="auto"/>
              <w:jc w:val="both"/>
              <w:rPr>
                <w:rFonts w:ascii="Book Antiqua" w:hAnsi="Book Antiqua"/>
                <w:sz w:val="24"/>
                <w:szCs w:val="28"/>
              </w:rPr>
            </w:pPr>
            <w:r>
              <w:rPr>
                <w:rFonts w:ascii="Book Antiqua" w:hAnsi="Book Antiqua"/>
                <w:sz w:val="24"/>
                <w:szCs w:val="28"/>
              </w:rPr>
              <w:t>2</w:t>
            </w:r>
          </w:p>
        </w:tc>
        <w:tc>
          <w:tcPr>
            <w:tcW w:w="2688" w:type="dxa"/>
          </w:tcPr>
          <w:p w14:paraId="77522445" w14:textId="55C7E1DC" w:rsidR="002B74D1" w:rsidRDefault="003038AA" w:rsidP="002C16DA">
            <w:pPr>
              <w:spacing w:line="276" w:lineRule="auto"/>
              <w:jc w:val="both"/>
              <w:rPr>
                <w:rFonts w:ascii="Book Antiqua" w:hAnsi="Book Antiqua"/>
                <w:sz w:val="24"/>
                <w:szCs w:val="28"/>
              </w:rPr>
            </w:pPr>
            <w:r>
              <w:rPr>
                <w:rFonts w:ascii="Book Antiqua" w:hAnsi="Book Antiqua"/>
                <w:sz w:val="24"/>
                <w:szCs w:val="28"/>
              </w:rPr>
              <w:t>150 euro</w:t>
            </w:r>
          </w:p>
        </w:tc>
      </w:tr>
      <w:tr w:rsidR="002B74D1" w14:paraId="3AEA0CAA" w14:textId="77777777" w:rsidTr="003115A7">
        <w:tc>
          <w:tcPr>
            <w:tcW w:w="2972" w:type="dxa"/>
          </w:tcPr>
          <w:p w14:paraId="152A04F0" w14:textId="492BFB7B" w:rsidR="002B74D1" w:rsidRDefault="003038AA" w:rsidP="002C16DA">
            <w:pPr>
              <w:spacing w:line="276" w:lineRule="auto"/>
              <w:jc w:val="both"/>
              <w:rPr>
                <w:rFonts w:ascii="Book Antiqua" w:hAnsi="Book Antiqua"/>
                <w:sz w:val="24"/>
                <w:szCs w:val="28"/>
              </w:rPr>
            </w:pPr>
            <w:r>
              <w:rPr>
                <w:rFonts w:ascii="Book Antiqua" w:hAnsi="Book Antiqua"/>
                <w:sz w:val="24"/>
                <w:szCs w:val="28"/>
              </w:rPr>
              <w:t>126-200</w:t>
            </w:r>
          </w:p>
        </w:tc>
        <w:tc>
          <w:tcPr>
            <w:tcW w:w="1654" w:type="dxa"/>
          </w:tcPr>
          <w:p w14:paraId="080C2D5A" w14:textId="0DBF7BE7" w:rsidR="002B74D1" w:rsidRDefault="00862EB8" w:rsidP="002C16DA">
            <w:pPr>
              <w:spacing w:line="276" w:lineRule="auto"/>
              <w:jc w:val="both"/>
              <w:rPr>
                <w:rFonts w:ascii="Book Antiqua" w:hAnsi="Book Antiqua"/>
                <w:sz w:val="24"/>
                <w:szCs w:val="28"/>
              </w:rPr>
            </w:pPr>
            <w:r>
              <w:rPr>
                <w:rFonts w:ascii="Book Antiqua" w:hAnsi="Book Antiqua"/>
                <w:sz w:val="24"/>
                <w:szCs w:val="28"/>
              </w:rPr>
              <w:t>1</w:t>
            </w:r>
          </w:p>
        </w:tc>
        <w:tc>
          <w:tcPr>
            <w:tcW w:w="1748" w:type="dxa"/>
          </w:tcPr>
          <w:p w14:paraId="56349815" w14:textId="77777777" w:rsidR="002B74D1" w:rsidRDefault="002B74D1" w:rsidP="002C16DA">
            <w:pPr>
              <w:spacing w:line="276" w:lineRule="auto"/>
              <w:jc w:val="both"/>
              <w:rPr>
                <w:rFonts w:ascii="Book Antiqua" w:hAnsi="Book Antiqua"/>
                <w:sz w:val="24"/>
                <w:szCs w:val="28"/>
              </w:rPr>
            </w:pPr>
          </w:p>
        </w:tc>
        <w:tc>
          <w:tcPr>
            <w:tcW w:w="2688" w:type="dxa"/>
          </w:tcPr>
          <w:p w14:paraId="3ABB34EC" w14:textId="27E18BA5" w:rsidR="002B74D1" w:rsidRDefault="003038AA" w:rsidP="002C16DA">
            <w:pPr>
              <w:spacing w:line="276" w:lineRule="auto"/>
              <w:jc w:val="both"/>
              <w:rPr>
                <w:rFonts w:ascii="Book Antiqua" w:hAnsi="Book Antiqua"/>
                <w:sz w:val="24"/>
                <w:szCs w:val="28"/>
              </w:rPr>
            </w:pPr>
            <w:r>
              <w:rPr>
                <w:rFonts w:ascii="Book Antiqua" w:hAnsi="Book Antiqua"/>
                <w:sz w:val="24"/>
                <w:szCs w:val="28"/>
              </w:rPr>
              <w:t>100 euro</w:t>
            </w:r>
          </w:p>
        </w:tc>
      </w:tr>
      <w:tr w:rsidR="00862EB8" w14:paraId="68A65825" w14:textId="77777777" w:rsidTr="003115A7">
        <w:tc>
          <w:tcPr>
            <w:tcW w:w="2972" w:type="dxa"/>
          </w:tcPr>
          <w:p w14:paraId="6FEF72D5" w14:textId="6B235BA6" w:rsidR="00862EB8" w:rsidRDefault="003038AA" w:rsidP="002C16DA">
            <w:pPr>
              <w:spacing w:line="276" w:lineRule="auto"/>
              <w:jc w:val="both"/>
              <w:rPr>
                <w:rFonts w:ascii="Book Antiqua" w:hAnsi="Book Antiqua"/>
                <w:sz w:val="24"/>
                <w:szCs w:val="28"/>
              </w:rPr>
            </w:pPr>
            <w:r>
              <w:rPr>
                <w:rFonts w:ascii="Book Antiqua" w:hAnsi="Book Antiqua"/>
                <w:sz w:val="24"/>
                <w:szCs w:val="28"/>
              </w:rPr>
              <w:t>126-200</w:t>
            </w:r>
          </w:p>
        </w:tc>
        <w:tc>
          <w:tcPr>
            <w:tcW w:w="1654" w:type="dxa"/>
          </w:tcPr>
          <w:p w14:paraId="5015494B" w14:textId="77777777" w:rsidR="00862EB8" w:rsidRDefault="00862EB8" w:rsidP="002C16DA">
            <w:pPr>
              <w:spacing w:line="276" w:lineRule="auto"/>
              <w:jc w:val="both"/>
              <w:rPr>
                <w:rFonts w:ascii="Book Antiqua" w:hAnsi="Book Antiqua"/>
                <w:sz w:val="24"/>
                <w:szCs w:val="28"/>
              </w:rPr>
            </w:pPr>
          </w:p>
        </w:tc>
        <w:tc>
          <w:tcPr>
            <w:tcW w:w="1748" w:type="dxa"/>
          </w:tcPr>
          <w:p w14:paraId="5BA99C15" w14:textId="0E4ECB21" w:rsidR="00862EB8" w:rsidRDefault="00862EB8" w:rsidP="002C16DA">
            <w:pPr>
              <w:spacing w:line="276" w:lineRule="auto"/>
              <w:jc w:val="both"/>
              <w:rPr>
                <w:rFonts w:ascii="Book Antiqua" w:hAnsi="Book Antiqua"/>
                <w:sz w:val="24"/>
                <w:szCs w:val="28"/>
              </w:rPr>
            </w:pPr>
            <w:r>
              <w:rPr>
                <w:rFonts w:ascii="Book Antiqua" w:hAnsi="Book Antiqua"/>
                <w:sz w:val="24"/>
                <w:szCs w:val="28"/>
              </w:rPr>
              <w:t>2</w:t>
            </w:r>
          </w:p>
        </w:tc>
        <w:tc>
          <w:tcPr>
            <w:tcW w:w="2688" w:type="dxa"/>
          </w:tcPr>
          <w:p w14:paraId="14D5C9AB" w14:textId="055BC539" w:rsidR="00862EB8" w:rsidRDefault="003038AA" w:rsidP="002C16DA">
            <w:pPr>
              <w:spacing w:line="276" w:lineRule="auto"/>
              <w:jc w:val="both"/>
              <w:rPr>
                <w:rFonts w:ascii="Book Antiqua" w:hAnsi="Book Antiqua"/>
                <w:sz w:val="24"/>
                <w:szCs w:val="28"/>
              </w:rPr>
            </w:pPr>
            <w:r>
              <w:rPr>
                <w:rFonts w:ascii="Book Antiqua" w:hAnsi="Book Antiqua"/>
                <w:sz w:val="24"/>
                <w:szCs w:val="28"/>
              </w:rPr>
              <w:t>200 euro</w:t>
            </w:r>
          </w:p>
        </w:tc>
      </w:tr>
      <w:tr w:rsidR="00862EB8" w14:paraId="3F0B4366" w14:textId="77777777" w:rsidTr="003115A7">
        <w:tc>
          <w:tcPr>
            <w:tcW w:w="2972" w:type="dxa"/>
          </w:tcPr>
          <w:p w14:paraId="5C157946" w14:textId="76539F18" w:rsidR="00862EB8" w:rsidRDefault="003038AA" w:rsidP="002C16DA">
            <w:pPr>
              <w:spacing w:line="276" w:lineRule="auto"/>
              <w:jc w:val="both"/>
              <w:rPr>
                <w:rFonts w:ascii="Book Antiqua" w:hAnsi="Book Antiqua"/>
                <w:sz w:val="24"/>
                <w:szCs w:val="28"/>
              </w:rPr>
            </w:pPr>
            <w:r>
              <w:rPr>
                <w:rFonts w:ascii="Book Antiqua" w:hAnsi="Book Antiqua"/>
                <w:sz w:val="24"/>
                <w:szCs w:val="28"/>
              </w:rPr>
              <w:t>Meer dan 200</w:t>
            </w:r>
          </w:p>
        </w:tc>
        <w:tc>
          <w:tcPr>
            <w:tcW w:w="1654" w:type="dxa"/>
          </w:tcPr>
          <w:p w14:paraId="3EDA6166" w14:textId="20E7D701" w:rsidR="00862EB8" w:rsidRDefault="000E7D9F" w:rsidP="002C16DA">
            <w:pPr>
              <w:spacing w:line="276" w:lineRule="auto"/>
              <w:jc w:val="both"/>
              <w:rPr>
                <w:rFonts w:ascii="Book Antiqua" w:hAnsi="Book Antiqua"/>
                <w:sz w:val="24"/>
                <w:szCs w:val="28"/>
              </w:rPr>
            </w:pPr>
            <w:r>
              <w:rPr>
                <w:rFonts w:ascii="Book Antiqua" w:hAnsi="Book Antiqua"/>
                <w:sz w:val="24"/>
                <w:szCs w:val="28"/>
              </w:rPr>
              <w:t>1</w:t>
            </w:r>
          </w:p>
        </w:tc>
        <w:tc>
          <w:tcPr>
            <w:tcW w:w="1748" w:type="dxa"/>
          </w:tcPr>
          <w:p w14:paraId="5AD76BBB" w14:textId="77777777" w:rsidR="00862EB8" w:rsidRDefault="00862EB8" w:rsidP="002C16DA">
            <w:pPr>
              <w:spacing w:line="276" w:lineRule="auto"/>
              <w:jc w:val="both"/>
              <w:rPr>
                <w:rFonts w:ascii="Book Antiqua" w:hAnsi="Book Antiqua"/>
                <w:sz w:val="24"/>
                <w:szCs w:val="28"/>
              </w:rPr>
            </w:pPr>
          </w:p>
        </w:tc>
        <w:tc>
          <w:tcPr>
            <w:tcW w:w="2688" w:type="dxa"/>
          </w:tcPr>
          <w:p w14:paraId="154CD16F" w14:textId="5220779B" w:rsidR="00862EB8" w:rsidRDefault="003038AA" w:rsidP="002C16DA">
            <w:pPr>
              <w:spacing w:line="276" w:lineRule="auto"/>
              <w:jc w:val="both"/>
              <w:rPr>
                <w:rFonts w:ascii="Book Antiqua" w:hAnsi="Book Antiqua"/>
                <w:sz w:val="24"/>
                <w:szCs w:val="28"/>
              </w:rPr>
            </w:pPr>
            <w:r>
              <w:rPr>
                <w:rFonts w:ascii="Book Antiqua" w:hAnsi="Book Antiqua"/>
                <w:sz w:val="24"/>
                <w:szCs w:val="28"/>
              </w:rPr>
              <w:t>125 euro</w:t>
            </w:r>
          </w:p>
        </w:tc>
      </w:tr>
      <w:tr w:rsidR="000E7D9F" w14:paraId="68DCB7FC" w14:textId="77777777" w:rsidTr="003115A7">
        <w:tc>
          <w:tcPr>
            <w:tcW w:w="2972" w:type="dxa"/>
          </w:tcPr>
          <w:p w14:paraId="6CB643ED" w14:textId="5DBA58FF" w:rsidR="000E7D9F" w:rsidRDefault="003038AA" w:rsidP="002C16DA">
            <w:pPr>
              <w:spacing w:line="276" w:lineRule="auto"/>
              <w:jc w:val="both"/>
              <w:rPr>
                <w:rFonts w:ascii="Book Antiqua" w:hAnsi="Book Antiqua"/>
                <w:sz w:val="24"/>
                <w:szCs w:val="28"/>
              </w:rPr>
            </w:pPr>
            <w:r>
              <w:rPr>
                <w:rFonts w:ascii="Book Antiqua" w:hAnsi="Book Antiqua"/>
                <w:sz w:val="24"/>
                <w:szCs w:val="28"/>
              </w:rPr>
              <w:t>Meer dan 200</w:t>
            </w:r>
          </w:p>
        </w:tc>
        <w:tc>
          <w:tcPr>
            <w:tcW w:w="1654" w:type="dxa"/>
          </w:tcPr>
          <w:p w14:paraId="2758D036" w14:textId="77777777" w:rsidR="000E7D9F" w:rsidRDefault="000E7D9F" w:rsidP="002C16DA">
            <w:pPr>
              <w:spacing w:line="276" w:lineRule="auto"/>
              <w:jc w:val="both"/>
              <w:rPr>
                <w:rFonts w:ascii="Book Antiqua" w:hAnsi="Book Antiqua"/>
                <w:sz w:val="24"/>
                <w:szCs w:val="28"/>
              </w:rPr>
            </w:pPr>
          </w:p>
        </w:tc>
        <w:tc>
          <w:tcPr>
            <w:tcW w:w="1748" w:type="dxa"/>
          </w:tcPr>
          <w:p w14:paraId="15387DDD" w14:textId="3DD8542C" w:rsidR="000E7D9F" w:rsidRDefault="000E7D9F" w:rsidP="002C16DA">
            <w:pPr>
              <w:spacing w:line="276" w:lineRule="auto"/>
              <w:jc w:val="both"/>
              <w:rPr>
                <w:rFonts w:ascii="Book Antiqua" w:hAnsi="Book Antiqua"/>
                <w:sz w:val="24"/>
                <w:szCs w:val="28"/>
              </w:rPr>
            </w:pPr>
            <w:r>
              <w:rPr>
                <w:rFonts w:ascii="Book Antiqua" w:hAnsi="Book Antiqua"/>
                <w:sz w:val="24"/>
                <w:szCs w:val="28"/>
              </w:rPr>
              <w:t>2</w:t>
            </w:r>
          </w:p>
        </w:tc>
        <w:tc>
          <w:tcPr>
            <w:tcW w:w="2688" w:type="dxa"/>
          </w:tcPr>
          <w:p w14:paraId="33413D62" w14:textId="6566503A" w:rsidR="000E7D9F" w:rsidRDefault="003038AA" w:rsidP="002C16DA">
            <w:pPr>
              <w:spacing w:line="276" w:lineRule="auto"/>
              <w:jc w:val="both"/>
              <w:rPr>
                <w:rFonts w:ascii="Book Antiqua" w:hAnsi="Book Antiqua"/>
                <w:sz w:val="24"/>
                <w:szCs w:val="28"/>
              </w:rPr>
            </w:pPr>
            <w:r>
              <w:rPr>
                <w:rFonts w:ascii="Book Antiqua" w:hAnsi="Book Antiqua"/>
                <w:sz w:val="24"/>
                <w:szCs w:val="28"/>
              </w:rPr>
              <w:t>250 euro</w:t>
            </w:r>
          </w:p>
        </w:tc>
      </w:tr>
    </w:tbl>
    <w:p w14:paraId="1D2C2F33" w14:textId="26425061" w:rsidR="00A535B3" w:rsidRDefault="00A535B3" w:rsidP="002C16DA">
      <w:pPr>
        <w:spacing w:line="276" w:lineRule="auto"/>
        <w:jc w:val="both"/>
        <w:rPr>
          <w:rFonts w:ascii="Book Antiqua" w:hAnsi="Book Antiqua"/>
          <w:sz w:val="24"/>
          <w:szCs w:val="28"/>
        </w:rPr>
      </w:pPr>
    </w:p>
    <w:p w14:paraId="6BB21FC3" w14:textId="3918CA07" w:rsidR="00475EE8" w:rsidRPr="003038AA" w:rsidRDefault="00475EE8" w:rsidP="002C16DA">
      <w:pPr>
        <w:spacing w:line="276" w:lineRule="auto"/>
        <w:jc w:val="both"/>
        <w:rPr>
          <w:rFonts w:ascii="Book Antiqua" w:hAnsi="Book Antiqua"/>
          <w:b/>
          <w:bCs/>
          <w:sz w:val="24"/>
          <w:szCs w:val="28"/>
        </w:rPr>
      </w:pPr>
      <w:r w:rsidRPr="003038AA">
        <w:rPr>
          <w:rFonts w:ascii="Book Antiqua" w:hAnsi="Book Antiqua"/>
          <w:b/>
          <w:bCs/>
          <w:sz w:val="24"/>
          <w:szCs w:val="28"/>
        </w:rPr>
        <w:t>Wat moet er in de aanvraag staan?</w:t>
      </w:r>
    </w:p>
    <w:p w14:paraId="2805FB85" w14:textId="2D563BC8" w:rsidR="009A69A1" w:rsidRDefault="009A69A1" w:rsidP="009A69A1">
      <w:pPr>
        <w:pStyle w:val="Lijstalinea"/>
        <w:numPr>
          <w:ilvl w:val="0"/>
          <w:numId w:val="7"/>
        </w:numPr>
        <w:spacing w:line="276" w:lineRule="auto"/>
        <w:jc w:val="both"/>
        <w:rPr>
          <w:rFonts w:ascii="Book Antiqua" w:hAnsi="Book Antiqua"/>
          <w:sz w:val="24"/>
          <w:szCs w:val="28"/>
        </w:rPr>
      </w:pPr>
      <w:r>
        <w:rPr>
          <w:rFonts w:ascii="Book Antiqua" w:hAnsi="Book Antiqua"/>
          <w:sz w:val="24"/>
          <w:szCs w:val="28"/>
        </w:rPr>
        <w:t xml:space="preserve">Met welke letterenverenigingen </w:t>
      </w:r>
      <w:r w:rsidR="0002430C">
        <w:rPr>
          <w:rFonts w:ascii="Book Antiqua" w:hAnsi="Book Antiqua"/>
          <w:sz w:val="24"/>
          <w:szCs w:val="28"/>
        </w:rPr>
        <w:t>de activiteit wordt georganiseerd;</w:t>
      </w:r>
    </w:p>
    <w:p w14:paraId="11FB34BE" w14:textId="65EDD828" w:rsidR="00BE6A6D" w:rsidRDefault="009A69A1" w:rsidP="009A69A1">
      <w:pPr>
        <w:pStyle w:val="Lijstalinea"/>
        <w:numPr>
          <w:ilvl w:val="0"/>
          <w:numId w:val="7"/>
        </w:numPr>
        <w:spacing w:line="276" w:lineRule="auto"/>
        <w:jc w:val="both"/>
        <w:rPr>
          <w:rFonts w:ascii="Book Antiqua" w:hAnsi="Book Antiqua"/>
          <w:sz w:val="24"/>
          <w:szCs w:val="28"/>
        </w:rPr>
      </w:pPr>
      <w:r>
        <w:rPr>
          <w:rFonts w:ascii="Book Antiqua" w:hAnsi="Book Antiqua"/>
          <w:sz w:val="24"/>
          <w:szCs w:val="28"/>
        </w:rPr>
        <w:t xml:space="preserve">Een heldere beschrijving van </w:t>
      </w:r>
      <w:r w:rsidR="003038AA">
        <w:rPr>
          <w:rFonts w:ascii="Book Antiqua" w:hAnsi="Book Antiqua"/>
          <w:sz w:val="24"/>
          <w:szCs w:val="28"/>
        </w:rPr>
        <w:t>de activiteit</w:t>
      </w:r>
      <w:r w:rsidR="0002430C">
        <w:rPr>
          <w:rFonts w:ascii="Book Antiqua" w:hAnsi="Book Antiqua"/>
          <w:sz w:val="24"/>
          <w:szCs w:val="28"/>
        </w:rPr>
        <w:t>;</w:t>
      </w:r>
    </w:p>
    <w:p w14:paraId="7CFADFC0" w14:textId="41887E19" w:rsidR="0002430C" w:rsidRDefault="0002430C" w:rsidP="003038AA">
      <w:pPr>
        <w:pStyle w:val="Lijstalinea"/>
        <w:numPr>
          <w:ilvl w:val="0"/>
          <w:numId w:val="7"/>
        </w:numPr>
        <w:spacing w:line="276" w:lineRule="auto"/>
        <w:jc w:val="both"/>
        <w:rPr>
          <w:rFonts w:ascii="Book Antiqua" w:hAnsi="Book Antiqua"/>
          <w:sz w:val="24"/>
          <w:szCs w:val="28"/>
        </w:rPr>
      </w:pPr>
      <w:r>
        <w:rPr>
          <w:rFonts w:ascii="Book Antiqua" w:hAnsi="Book Antiqua"/>
          <w:sz w:val="24"/>
          <w:szCs w:val="28"/>
        </w:rPr>
        <w:t>Een</w:t>
      </w:r>
      <w:r w:rsidR="003038AA">
        <w:rPr>
          <w:rFonts w:ascii="Book Antiqua" w:hAnsi="Book Antiqua"/>
          <w:sz w:val="24"/>
          <w:szCs w:val="28"/>
        </w:rPr>
        <w:t xml:space="preserve"> begroting waarin staat voor welke zaken geld nodig is; </w:t>
      </w:r>
    </w:p>
    <w:p w14:paraId="2C5A5E53" w14:textId="48740591" w:rsidR="003038AA" w:rsidRDefault="003038AA" w:rsidP="003038AA">
      <w:pPr>
        <w:pStyle w:val="Lijstalinea"/>
        <w:numPr>
          <w:ilvl w:val="0"/>
          <w:numId w:val="7"/>
        </w:numPr>
        <w:spacing w:line="276" w:lineRule="auto"/>
        <w:jc w:val="both"/>
        <w:rPr>
          <w:rFonts w:ascii="Book Antiqua" w:hAnsi="Book Antiqua"/>
          <w:sz w:val="24"/>
          <w:szCs w:val="28"/>
        </w:rPr>
      </w:pPr>
      <w:r>
        <w:rPr>
          <w:rFonts w:ascii="Book Antiqua" w:hAnsi="Book Antiqua"/>
          <w:sz w:val="24"/>
          <w:szCs w:val="28"/>
        </w:rPr>
        <w:t xml:space="preserve">Het aantal verwachte leden dat aanwezig zal zijn op de activiteit; </w:t>
      </w:r>
    </w:p>
    <w:p w14:paraId="26065DE0" w14:textId="6DA0FFBC" w:rsidR="003038AA" w:rsidRPr="003038AA" w:rsidRDefault="003038AA" w:rsidP="003038AA">
      <w:pPr>
        <w:pStyle w:val="Lijstalinea"/>
        <w:numPr>
          <w:ilvl w:val="0"/>
          <w:numId w:val="7"/>
        </w:numPr>
        <w:spacing w:line="276" w:lineRule="auto"/>
        <w:jc w:val="both"/>
        <w:rPr>
          <w:rFonts w:ascii="Book Antiqua" w:hAnsi="Book Antiqua"/>
          <w:sz w:val="24"/>
          <w:szCs w:val="28"/>
        </w:rPr>
      </w:pPr>
      <w:r>
        <w:rPr>
          <w:rFonts w:ascii="Book Antiqua" w:hAnsi="Book Antiqua"/>
          <w:sz w:val="24"/>
          <w:szCs w:val="28"/>
        </w:rPr>
        <w:t xml:space="preserve">Voor wie de activiteit toegankelijk is. </w:t>
      </w:r>
    </w:p>
    <w:p w14:paraId="16835A21" w14:textId="77777777" w:rsidR="003038AA" w:rsidRPr="003038AA" w:rsidRDefault="003038AA" w:rsidP="003038AA">
      <w:pPr>
        <w:spacing w:line="276" w:lineRule="auto"/>
        <w:jc w:val="both"/>
        <w:rPr>
          <w:rFonts w:ascii="Book Antiqua" w:hAnsi="Book Antiqua"/>
          <w:sz w:val="24"/>
          <w:szCs w:val="24"/>
        </w:rPr>
      </w:pPr>
      <w:r w:rsidRPr="003038AA">
        <w:rPr>
          <w:rFonts w:ascii="Book Antiqua" w:hAnsi="Book Antiqua"/>
          <w:sz w:val="24"/>
          <w:szCs w:val="24"/>
        </w:rPr>
        <w:t xml:space="preserve">Aanvragen kunnen worden afgewezen (altijd met opgave van reden). In dat geval kan er een nieuwe, aangepaste aanvraag worden ingediend.  </w:t>
      </w:r>
    </w:p>
    <w:p w14:paraId="4825507F" w14:textId="77777777" w:rsidR="003038AA" w:rsidRPr="003038AA" w:rsidRDefault="003038AA" w:rsidP="003038AA">
      <w:pPr>
        <w:spacing w:line="276" w:lineRule="auto"/>
        <w:jc w:val="both"/>
        <w:rPr>
          <w:rFonts w:ascii="Book Antiqua" w:hAnsi="Book Antiqua"/>
          <w:sz w:val="24"/>
          <w:szCs w:val="24"/>
        </w:rPr>
      </w:pPr>
      <w:r w:rsidRPr="003038AA">
        <w:rPr>
          <w:rFonts w:ascii="Book Antiqua" w:hAnsi="Book Antiqua"/>
          <w:sz w:val="24"/>
          <w:szCs w:val="24"/>
        </w:rPr>
        <w:t xml:space="preserve">Na verloop van tijd wordt het BVA geëvalueerd en kan er besloten worden dat er aanpassingen worden gemaakt aan het BVA.  </w:t>
      </w:r>
    </w:p>
    <w:p w14:paraId="5A8DEDEE" w14:textId="3E42000D" w:rsidR="003038AA" w:rsidRPr="003038AA" w:rsidRDefault="003038AA" w:rsidP="003038AA">
      <w:pPr>
        <w:spacing w:line="276" w:lineRule="auto"/>
        <w:jc w:val="both"/>
        <w:rPr>
          <w:rFonts w:ascii="Book Antiqua" w:hAnsi="Book Antiqua"/>
          <w:sz w:val="24"/>
          <w:szCs w:val="24"/>
        </w:rPr>
      </w:pPr>
      <w:r w:rsidRPr="003038AA">
        <w:rPr>
          <w:rFonts w:ascii="Book Antiqua" w:hAnsi="Book Antiqua"/>
          <w:sz w:val="24"/>
          <w:szCs w:val="24"/>
        </w:rPr>
        <w:t>Het BVA</w:t>
      </w:r>
      <w:r w:rsidR="00C56138">
        <w:rPr>
          <w:rFonts w:ascii="Book Antiqua" w:hAnsi="Book Antiqua"/>
          <w:sz w:val="24"/>
          <w:szCs w:val="24"/>
        </w:rPr>
        <w:t xml:space="preserve"> loopt tot en met 31 december 2022 en</w:t>
      </w:r>
      <w:r w:rsidRPr="003038AA">
        <w:rPr>
          <w:rFonts w:ascii="Book Antiqua" w:hAnsi="Book Antiqua"/>
          <w:sz w:val="24"/>
          <w:szCs w:val="24"/>
        </w:rPr>
        <w:t xml:space="preserve"> </w:t>
      </w:r>
      <w:r w:rsidR="00C56138">
        <w:rPr>
          <w:rFonts w:ascii="Book Antiqua" w:hAnsi="Book Antiqua"/>
          <w:sz w:val="24"/>
          <w:szCs w:val="24"/>
        </w:rPr>
        <w:t xml:space="preserve">is per 31 oktober 2022 voortgezet voor het komende kalenderjaar (2023). </w:t>
      </w:r>
      <w:r w:rsidRPr="003038AA">
        <w:rPr>
          <w:rFonts w:ascii="Book Antiqua" w:hAnsi="Book Antiqua"/>
          <w:sz w:val="24"/>
          <w:szCs w:val="24"/>
        </w:rPr>
        <w:t xml:space="preserve">  </w:t>
      </w:r>
    </w:p>
    <w:p w14:paraId="15B993F4" w14:textId="1075E30F" w:rsidR="00965448" w:rsidRDefault="003038AA" w:rsidP="003038AA">
      <w:pPr>
        <w:spacing w:line="276" w:lineRule="auto"/>
        <w:jc w:val="both"/>
        <w:rPr>
          <w:rFonts w:ascii="Book Antiqua" w:hAnsi="Book Antiqua"/>
          <w:sz w:val="24"/>
          <w:szCs w:val="24"/>
        </w:rPr>
      </w:pPr>
      <w:proofErr w:type="gramStart"/>
      <w:r w:rsidRPr="003038AA">
        <w:rPr>
          <w:rFonts w:ascii="Book Antiqua" w:hAnsi="Book Antiqua"/>
          <w:sz w:val="24"/>
          <w:szCs w:val="24"/>
        </w:rPr>
        <w:t>Indien</w:t>
      </w:r>
      <w:proofErr w:type="gramEnd"/>
      <w:r w:rsidRPr="003038AA">
        <w:rPr>
          <w:rFonts w:ascii="Book Antiqua" w:hAnsi="Book Antiqua"/>
          <w:sz w:val="24"/>
          <w:szCs w:val="24"/>
        </w:rPr>
        <w:t xml:space="preserve"> er aan het einde van het boekjaar een bedrag uit het BVA overblijft, vloeit dit bedrag terug naar de </w:t>
      </w:r>
      <w:r w:rsidR="00C56138">
        <w:rPr>
          <w:rFonts w:ascii="Book Antiqua" w:hAnsi="Book Antiqua"/>
          <w:sz w:val="24"/>
          <w:szCs w:val="24"/>
        </w:rPr>
        <w:t>faculteit</w:t>
      </w:r>
      <w:r w:rsidRPr="003038AA">
        <w:rPr>
          <w:rFonts w:ascii="Book Antiqua" w:hAnsi="Book Antiqua"/>
          <w:sz w:val="24"/>
          <w:szCs w:val="24"/>
        </w:rPr>
        <w:t xml:space="preserve"> om het later weer op een andere manier in de </w:t>
      </w:r>
      <w:proofErr w:type="spellStart"/>
      <w:r w:rsidRPr="003038AA">
        <w:rPr>
          <w:rFonts w:ascii="Book Antiqua" w:hAnsi="Book Antiqua"/>
          <w:sz w:val="24"/>
          <w:szCs w:val="24"/>
        </w:rPr>
        <w:t>lidverenigingen</w:t>
      </w:r>
      <w:proofErr w:type="spellEnd"/>
      <w:r w:rsidRPr="003038AA">
        <w:rPr>
          <w:rFonts w:ascii="Book Antiqua" w:hAnsi="Book Antiqua"/>
          <w:sz w:val="24"/>
          <w:szCs w:val="24"/>
        </w:rPr>
        <w:t xml:space="preserve"> te investeren. Er kan door het opvolgingsbestuur worden besloten om </w:t>
      </w:r>
      <w:r w:rsidRPr="003038AA">
        <w:rPr>
          <w:rFonts w:ascii="Book Antiqua" w:hAnsi="Book Antiqua"/>
          <w:sz w:val="24"/>
          <w:szCs w:val="24"/>
        </w:rPr>
        <w:lastRenderedPageBreak/>
        <w:t xml:space="preserve">het BVA door te zetten als uit de evaluatie blijkt dat </w:t>
      </w:r>
      <w:proofErr w:type="spellStart"/>
      <w:r w:rsidRPr="003038AA">
        <w:rPr>
          <w:rFonts w:ascii="Book Antiqua" w:hAnsi="Book Antiqua"/>
          <w:sz w:val="24"/>
          <w:szCs w:val="24"/>
        </w:rPr>
        <w:t>lidverenigingen</w:t>
      </w:r>
      <w:proofErr w:type="spellEnd"/>
      <w:r w:rsidRPr="003038AA">
        <w:rPr>
          <w:rFonts w:ascii="Book Antiqua" w:hAnsi="Book Antiqua"/>
          <w:sz w:val="24"/>
          <w:szCs w:val="24"/>
        </w:rPr>
        <w:t xml:space="preserve"> tevreden zijn over het BVA. </w:t>
      </w:r>
      <w:r w:rsidR="002C16DA" w:rsidRPr="004D62B4">
        <w:rPr>
          <w:rFonts w:ascii="Book Antiqua" w:hAnsi="Book Antiqua"/>
          <w:sz w:val="24"/>
          <w:szCs w:val="24"/>
        </w:rPr>
        <w:t xml:space="preserve"> </w:t>
      </w:r>
    </w:p>
    <w:p w14:paraId="76F35A88" w14:textId="50CF2144" w:rsidR="003038AA" w:rsidRPr="004309D6" w:rsidRDefault="003038AA" w:rsidP="003038AA">
      <w:pPr>
        <w:spacing w:line="276" w:lineRule="auto"/>
        <w:jc w:val="both"/>
        <w:rPr>
          <w:rFonts w:ascii="Book Antiqua" w:hAnsi="Book Antiqua"/>
          <w:sz w:val="24"/>
          <w:szCs w:val="24"/>
        </w:rPr>
      </w:pPr>
      <w:r w:rsidRPr="003038AA">
        <w:rPr>
          <w:rFonts w:ascii="Book Antiqua" w:hAnsi="Book Antiqua"/>
          <w:sz w:val="24"/>
          <w:szCs w:val="24"/>
        </w:rPr>
        <w:t xml:space="preserve">We willen elke </w:t>
      </w:r>
      <w:proofErr w:type="spellStart"/>
      <w:r w:rsidRPr="003038AA">
        <w:rPr>
          <w:rFonts w:ascii="Book Antiqua" w:hAnsi="Book Antiqua"/>
          <w:sz w:val="24"/>
          <w:szCs w:val="24"/>
        </w:rPr>
        <w:t>lidvereniging</w:t>
      </w:r>
      <w:proofErr w:type="spellEnd"/>
      <w:r w:rsidRPr="003038AA">
        <w:rPr>
          <w:rFonts w:ascii="Book Antiqua" w:hAnsi="Book Antiqua"/>
          <w:sz w:val="24"/>
          <w:szCs w:val="24"/>
        </w:rPr>
        <w:t xml:space="preserve"> stimuleren om redelijkerwijs gebruik te maken van deze voorziening. We hopen dat er met een bijdrage vanuit het BVA mooie activiteiten kunnen worden georganiseerd door en voor de </w:t>
      </w:r>
      <w:proofErr w:type="spellStart"/>
      <w:r w:rsidRPr="003038AA">
        <w:rPr>
          <w:rFonts w:ascii="Book Antiqua" w:hAnsi="Book Antiqua"/>
          <w:sz w:val="24"/>
          <w:szCs w:val="24"/>
        </w:rPr>
        <w:t>lidverenigingen</w:t>
      </w:r>
      <w:proofErr w:type="spellEnd"/>
      <w:r w:rsidRPr="003038AA">
        <w:rPr>
          <w:rFonts w:ascii="Book Antiqua" w:hAnsi="Book Antiqua"/>
          <w:sz w:val="24"/>
          <w:szCs w:val="24"/>
        </w:rPr>
        <w:t>.</w:t>
      </w:r>
    </w:p>
    <w:sectPr w:rsidR="003038AA" w:rsidRPr="00430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D76"/>
    <w:multiLevelType w:val="hybridMultilevel"/>
    <w:tmpl w:val="BA5A92F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12CD68BF"/>
    <w:multiLevelType w:val="hybridMultilevel"/>
    <w:tmpl w:val="6DF60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BC180F"/>
    <w:multiLevelType w:val="hybridMultilevel"/>
    <w:tmpl w:val="6126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457DF9"/>
    <w:multiLevelType w:val="hybridMultilevel"/>
    <w:tmpl w:val="F4C6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E6685"/>
    <w:multiLevelType w:val="hybridMultilevel"/>
    <w:tmpl w:val="AC085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930D3F"/>
    <w:multiLevelType w:val="hybridMultilevel"/>
    <w:tmpl w:val="998E6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511450"/>
    <w:multiLevelType w:val="hybridMultilevel"/>
    <w:tmpl w:val="D5A48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22760D"/>
    <w:multiLevelType w:val="hybridMultilevel"/>
    <w:tmpl w:val="563CCE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FCA564B"/>
    <w:multiLevelType w:val="hybridMultilevel"/>
    <w:tmpl w:val="821CC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4694522">
    <w:abstractNumId w:val="3"/>
  </w:num>
  <w:num w:numId="2" w16cid:durableId="499538839">
    <w:abstractNumId w:val="4"/>
  </w:num>
  <w:num w:numId="3" w16cid:durableId="184684160">
    <w:abstractNumId w:val="0"/>
  </w:num>
  <w:num w:numId="4" w16cid:durableId="125780721">
    <w:abstractNumId w:val="7"/>
  </w:num>
  <w:num w:numId="5" w16cid:durableId="1696496226">
    <w:abstractNumId w:val="5"/>
  </w:num>
  <w:num w:numId="6" w16cid:durableId="1467971754">
    <w:abstractNumId w:val="8"/>
  </w:num>
  <w:num w:numId="7" w16cid:durableId="1184977250">
    <w:abstractNumId w:val="2"/>
  </w:num>
  <w:num w:numId="8" w16cid:durableId="1348827481">
    <w:abstractNumId w:val="1"/>
  </w:num>
  <w:num w:numId="9" w16cid:durableId="1450514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DA"/>
    <w:rsid w:val="0002430C"/>
    <w:rsid w:val="00036011"/>
    <w:rsid w:val="000802ED"/>
    <w:rsid w:val="00086D7B"/>
    <w:rsid w:val="000E7D9F"/>
    <w:rsid w:val="002B74D1"/>
    <w:rsid w:val="002C0001"/>
    <w:rsid w:val="002C16DA"/>
    <w:rsid w:val="003038AA"/>
    <w:rsid w:val="00305692"/>
    <w:rsid w:val="003115A7"/>
    <w:rsid w:val="0032270D"/>
    <w:rsid w:val="00344C23"/>
    <w:rsid w:val="004309D6"/>
    <w:rsid w:val="00450883"/>
    <w:rsid w:val="00463297"/>
    <w:rsid w:val="00475EE8"/>
    <w:rsid w:val="004A23D1"/>
    <w:rsid w:val="004D62B4"/>
    <w:rsid w:val="00525DEE"/>
    <w:rsid w:val="00584FF6"/>
    <w:rsid w:val="00591A32"/>
    <w:rsid w:val="005B5C57"/>
    <w:rsid w:val="005D671D"/>
    <w:rsid w:val="00604CF9"/>
    <w:rsid w:val="00621CC2"/>
    <w:rsid w:val="00642D27"/>
    <w:rsid w:val="006A7B83"/>
    <w:rsid w:val="00736991"/>
    <w:rsid w:val="007A034A"/>
    <w:rsid w:val="007E118B"/>
    <w:rsid w:val="00832539"/>
    <w:rsid w:val="00843852"/>
    <w:rsid w:val="00844FC9"/>
    <w:rsid w:val="00862EB8"/>
    <w:rsid w:val="008B393A"/>
    <w:rsid w:val="008B7BDE"/>
    <w:rsid w:val="00965448"/>
    <w:rsid w:val="0097493F"/>
    <w:rsid w:val="009A3FAE"/>
    <w:rsid w:val="009A69A1"/>
    <w:rsid w:val="009D69C8"/>
    <w:rsid w:val="00A47E2A"/>
    <w:rsid w:val="00A521D6"/>
    <w:rsid w:val="00A535B3"/>
    <w:rsid w:val="00A72A28"/>
    <w:rsid w:val="00A87669"/>
    <w:rsid w:val="00AC0DD7"/>
    <w:rsid w:val="00B50FEA"/>
    <w:rsid w:val="00B909B9"/>
    <w:rsid w:val="00BC0645"/>
    <w:rsid w:val="00BE6A6D"/>
    <w:rsid w:val="00C17014"/>
    <w:rsid w:val="00C53FB7"/>
    <w:rsid w:val="00C56138"/>
    <w:rsid w:val="00C609A3"/>
    <w:rsid w:val="00CB0350"/>
    <w:rsid w:val="00CE5D2A"/>
    <w:rsid w:val="00CF2EE9"/>
    <w:rsid w:val="00DC5765"/>
    <w:rsid w:val="00DD0D8B"/>
    <w:rsid w:val="00E01D6B"/>
    <w:rsid w:val="00E12480"/>
    <w:rsid w:val="00E95DC1"/>
    <w:rsid w:val="00EA33BE"/>
    <w:rsid w:val="00FC5380"/>
    <w:rsid w:val="00FD6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A353"/>
  <w15:chartTrackingRefBased/>
  <w15:docId w15:val="{58C384CC-1E65-48AA-A387-4440712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6DA"/>
  </w:style>
  <w:style w:type="paragraph" w:styleId="Kop1">
    <w:name w:val="heading 1"/>
    <w:basedOn w:val="Standaard"/>
    <w:next w:val="Standaard"/>
    <w:link w:val="Kop1Char"/>
    <w:uiPriority w:val="9"/>
    <w:qFormat/>
    <w:rsid w:val="002C16D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6D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D62B4"/>
    <w:pPr>
      <w:ind w:left="720"/>
      <w:contextualSpacing/>
    </w:pPr>
  </w:style>
  <w:style w:type="table" w:styleId="Tabelraster">
    <w:name w:val="Table Grid"/>
    <w:basedOn w:val="Standaardtabel"/>
    <w:uiPriority w:val="39"/>
    <w:rsid w:val="00A5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Houts</dc:creator>
  <cp:keywords/>
  <dc:description/>
  <cp:lastModifiedBy>Hilke Cranenbroek</cp:lastModifiedBy>
  <cp:revision>3</cp:revision>
  <dcterms:created xsi:type="dcterms:W3CDTF">2022-11-15T13:28:00Z</dcterms:created>
  <dcterms:modified xsi:type="dcterms:W3CDTF">2022-11-15T13:30:00Z</dcterms:modified>
</cp:coreProperties>
</file>